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637EFFA4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113C6E">
        <w:rPr>
          <w:rFonts w:ascii="Cambria" w:hAnsi="Cambria"/>
          <w:b/>
          <w:color w:val="000000"/>
          <w:szCs w:val="24"/>
        </w:rPr>
        <w:t>043/2022</w:t>
      </w:r>
    </w:p>
    <w:p w14:paraId="26C2C9FC" w14:textId="4117A34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113C6E">
        <w:rPr>
          <w:rFonts w:ascii="Cambria" w:hAnsi="Cambria"/>
          <w:b/>
          <w:color w:val="000000"/>
          <w:szCs w:val="24"/>
        </w:rPr>
        <w:t>022/2022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5DD9CD2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8230A7">
        <w:rPr>
          <w:rFonts w:ascii="Cambria" w:hAnsi="Cambria"/>
          <w:color w:val="000000"/>
          <w:szCs w:val="24"/>
        </w:rPr>
        <w:t>016</w:t>
      </w:r>
      <w:r w:rsidR="00266C4F">
        <w:rPr>
          <w:rFonts w:ascii="Cambria" w:hAnsi="Cambria"/>
          <w:color w:val="000000"/>
          <w:szCs w:val="24"/>
        </w:rPr>
        <w:t>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1A3B86DF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113C6E">
        <w:rPr>
          <w:rFonts w:ascii="Cambria" w:hAnsi="Cambria"/>
          <w:color w:val="000000"/>
          <w:szCs w:val="24"/>
        </w:rPr>
        <w:t>022/2022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2880832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113C6E">
        <w:rPr>
          <w:rFonts w:ascii="Cambria" w:hAnsi="Cambria"/>
          <w:color w:val="000000"/>
          <w:szCs w:val="24"/>
        </w:rPr>
        <w:t>043/2022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71249119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Aos</w:t>
      </w:r>
      <w:r w:rsidR="00584188">
        <w:rPr>
          <w:rFonts w:ascii="Cambria" w:hAnsi="Cambria" w:cs="Arial"/>
          <w:color w:val="000000"/>
        </w:rPr>
        <w:t xml:space="preserve"> </w:t>
      </w:r>
      <w:r w:rsidR="005B5E57">
        <w:rPr>
          <w:rFonts w:ascii="Cambria" w:hAnsi="Cambria" w:cs="Arial"/>
          <w:color w:val="000000"/>
        </w:rPr>
        <w:t>13 (treze)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5B5E57">
        <w:rPr>
          <w:rFonts w:ascii="Cambria" w:hAnsi="Cambria" w:cs="Arial"/>
          <w:color w:val="000000"/>
        </w:rPr>
        <w:t xml:space="preserve">maio </w:t>
      </w:r>
      <w:r w:rsidRPr="00173E14">
        <w:rPr>
          <w:rFonts w:ascii="Cambria" w:hAnsi="Cambria" w:cs="Arial"/>
          <w:color w:val="000000"/>
        </w:rPr>
        <w:t xml:space="preserve">de </w:t>
      </w:r>
      <w:r w:rsidR="00D3672D">
        <w:rPr>
          <w:rFonts w:ascii="Cambria" w:hAnsi="Cambria" w:cs="Arial"/>
          <w:color w:val="000000"/>
        </w:rPr>
        <w:t>2022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1D616E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A60F3A">
        <w:rPr>
          <w:rFonts w:ascii="Cambria" w:hAnsi="Cambria" w:cs="Arial"/>
          <w:color w:val="000000"/>
        </w:rPr>
        <w:t>Mário Reis Filgueiras</w:t>
      </w:r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13C6E">
        <w:rPr>
          <w:rFonts w:ascii="Cambria" w:hAnsi="Cambria" w:cs="Arial"/>
          <w:color w:val="000000"/>
        </w:rPr>
        <w:t>022/2022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113C6E">
        <w:rPr>
          <w:rFonts w:ascii="Cambria" w:hAnsi="Cambria" w:cs="Arial"/>
          <w:color w:val="000000"/>
        </w:rPr>
        <w:t>043/2022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660474" w:rsidRPr="00EB6BCD">
        <w:rPr>
          <w:rFonts w:ascii="Cambria" w:hAnsi="Cambria" w:cs="Arial"/>
          <w:b/>
          <w:bCs/>
          <w:color w:val="000000"/>
        </w:rPr>
        <w:t>AMAZÔNIA INDÚSTRIA E COMÉRCIO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037750">
        <w:rPr>
          <w:rFonts w:ascii="Cambria" w:hAnsi="Cambria" w:cs="Arial"/>
          <w:color w:val="000000"/>
        </w:rPr>
        <w:t>Avenida das Américas, nº. 550, bairro Presidente K</w:t>
      </w:r>
      <w:r w:rsidR="00E025AA">
        <w:rPr>
          <w:rFonts w:ascii="Cambria" w:hAnsi="Cambria" w:cs="Arial"/>
          <w:color w:val="000000"/>
        </w:rPr>
        <w:t>ennedy, Contagem/MG, CEP 35.</w:t>
      </w:r>
      <w:r w:rsidR="00F32369">
        <w:rPr>
          <w:rFonts w:ascii="Cambria" w:hAnsi="Cambria" w:cs="Arial"/>
          <w:color w:val="000000"/>
        </w:rPr>
        <w:t>32.145-000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F32369">
        <w:rPr>
          <w:rFonts w:ascii="Cambria" w:hAnsi="Cambria" w:cs="Arial"/>
          <w:color w:val="000000"/>
        </w:rPr>
        <w:t>66.476.052/0001-47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2533BD">
        <w:rPr>
          <w:rFonts w:ascii="Cambria" w:hAnsi="Cambria" w:cs="Arial"/>
          <w:color w:val="000000"/>
        </w:rPr>
        <w:t xml:space="preserve">Luiz Ferreira Lima, inscrito no CPF/MF sob o nº. </w:t>
      </w:r>
      <w:r w:rsidR="0063009B">
        <w:rPr>
          <w:rFonts w:ascii="Cambria" w:hAnsi="Cambria" w:cs="Arial"/>
          <w:color w:val="000000"/>
        </w:rPr>
        <w:t>219.966.956-49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114"/>
        <w:gridCol w:w="878"/>
        <w:gridCol w:w="939"/>
        <w:gridCol w:w="1113"/>
        <w:gridCol w:w="973"/>
        <w:gridCol w:w="1094"/>
        <w:gridCol w:w="973"/>
        <w:gridCol w:w="1094"/>
      </w:tblGrid>
      <w:tr w:rsidR="002474A0" w:rsidRPr="002474A0" w14:paraId="55C367FB" w14:textId="77777777" w:rsidTr="002474A0">
        <w:trPr>
          <w:trHeight w:val="24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13A178AB" w14:textId="77777777" w:rsidR="002474A0" w:rsidRPr="002474A0" w:rsidRDefault="002474A0" w:rsidP="002474A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14:paraId="349F023A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64" w:type="dxa"/>
            <w:gridSpan w:val="7"/>
            <w:shd w:val="clear" w:color="auto" w:fill="auto"/>
            <w:vAlign w:val="center"/>
            <w:hideMark/>
          </w:tcPr>
          <w:p w14:paraId="53253732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2474A0" w:rsidRPr="002474A0" w14:paraId="498E1EBE" w14:textId="77777777" w:rsidTr="002474A0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4478FAD3" w14:textId="77777777" w:rsidR="002474A0" w:rsidRPr="002474A0" w:rsidRDefault="002474A0" w:rsidP="002474A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14:paraId="703B470B" w14:textId="77777777" w:rsidR="002474A0" w:rsidRPr="002474A0" w:rsidRDefault="002474A0" w:rsidP="002474A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shd w:val="clear" w:color="000000" w:fill="BFBFBF"/>
            <w:vAlign w:val="center"/>
            <w:hideMark/>
          </w:tcPr>
          <w:p w14:paraId="2D215B65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67" w:type="dxa"/>
            <w:gridSpan w:val="2"/>
            <w:shd w:val="clear" w:color="000000" w:fill="BFBFBF"/>
            <w:vAlign w:val="center"/>
            <w:hideMark/>
          </w:tcPr>
          <w:p w14:paraId="73BC08D5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67" w:type="dxa"/>
            <w:gridSpan w:val="2"/>
            <w:shd w:val="clear" w:color="000000" w:fill="BFBFBF"/>
            <w:vAlign w:val="center"/>
            <w:hideMark/>
          </w:tcPr>
          <w:p w14:paraId="0FABB6BD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2474A0" w:rsidRPr="002474A0" w14:paraId="32A3FAAD" w14:textId="77777777" w:rsidTr="002474A0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6C3E2DB2" w14:textId="77777777" w:rsidR="002474A0" w:rsidRPr="002474A0" w:rsidRDefault="002474A0" w:rsidP="002474A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14:paraId="286BFB3A" w14:textId="77777777" w:rsidR="002474A0" w:rsidRPr="002474A0" w:rsidRDefault="002474A0" w:rsidP="002474A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5191B9C2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Qtde Estimada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14:paraId="5E903193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13" w:type="dxa"/>
            <w:vMerge w:val="restart"/>
            <w:shd w:val="clear" w:color="000000" w:fill="D9D9D9"/>
            <w:vAlign w:val="center"/>
            <w:hideMark/>
          </w:tcPr>
          <w:p w14:paraId="5CCAB608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3" w:type="dxa"/>
            <w:vMerge w:val="restart"/>
            <w:shd w:val="clear" w:color="000000" w:fill="D9D9D9"/>
            <w:vAlign w:val="center"/>
            <w:hideMark/>
          </w:tcPr>
          <w:p w14:paraId="67B644BE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94" w:type="dxa"/>
            <w:vMerge w:val="restart"/>
            <w:shd w:val="clear" w:color="000000" w:fill="D9D9D9"/>
            <w:vAlign w:val="center"/>
            <w:hideMark/>
          </w:tcPr>
          <w:p w14:paraId="5678262E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3" w:type="dxa"/>
            <w:vMerge w:val="restart"/>
            <w:shd w:val="clear" w:color="000000" w:fill="D9D9D9"/>
            <w:vAlign w:val="center"/>
            <w:hideMark/>
          </w:tcPr>
          <w:p w14:paraId="5A5DA7E6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94" w:type="dxa"/>
            <w:vMerge w:val="restart"/>
            <w:shd w:val="clear" w:color="000000" w:fill="D9D9D9"/>
            <w:vAlign w:val="center"/>
            <w:hideMark/>
          </w:tcPr>
          <w:p w14:paraId="55FEFFB1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2474A0" w:rsidRPr="002474A0" w14:paraId="3AF7BD07" w14:textId="77777777" w:rsidTr="002474A0">
        <w:trPr>
          <w:trHeight w:val="255"/>
        </w:trPr>
        <w:tc>
          <w:tcPr>
            <w:tcW w:w="575" w:type="dxa"/>
            <w:vMerge/>
            <w:vAlign w:val="center"/>
            <w:hideMark/>
          </w:tcPr>
          <w:p w14:paraId="57D47C5D" w14:textId="77777777" w:rsidR="002474A0" w:rsidRPr="002474A0" w:rsidRDefault="002474A0" w:rsidP="002474A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14:paraId="0DB3DA7F" w14:textId="77777777" w:rsidR="002474A0" w:rsidRPr="002474A0" w:rsidRDefault="002474A0" w:rsidP="002474A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47D20464" w14:textId="77777777" w:rsidR="002474A0" w:rsidRPr="002474A0" w:rsidRDefault="002474A0" w:rsidP="002474A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14:paraId="5EFF4A64" w14:textId="77777777" w:rsidR="002474A0" w:rsidRPr="002474A0" w:rsidRDefault="002474A0" w:rsidP="002474A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14:paraId="02D5C4E9" w14:textId="77777777" w:rsidR="002474A0" w:rsidRPr="002474A0" w:rsidRDefault="002474A0" w:rsidP="002474A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5DEFC54E" w14:textId="77777777" w:rsidR="002474A0" w:rsidRPr="002474A0" w:rsidRDefault="002474A0" w:rsidP="002474A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14:paraId="5271370D" w14:textId="77777777" w:rsidR="002474A0" w:rsidRPr="002474A0" w:rsidRDefault="002474A0" w:rsidP="002474A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5C59C5E9" w14:textId="77777777" w:rsidR="002474A0" w:rsidRPr="002474A0" w:rsidRDefault="002474A0" w:rsidP="002474A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14:paraId="7B0A73D4" w14:textId="77777777" w:rsidR="002474A0" w:rsidRPr="002474A0" w:rsidRDefault="002474A0" w:rsidP="002474A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474A0" w:rsidRPr="002474A0" w14:paraId="5B537E5D" w14:textId="77777777" w:rsidTr="002474A0">
        <w:trPr>
          <w:trHeight w:val="270"/>
        </w:trPr>
        <w:tc>
          <w:tcPr>
            <w:tcW w:w="575" w:type="dxa"/>
            <w:shd w:val="clear" w:color="auto" w:fill="auto"/>
            <w:vAlign w:val="center"/>
            <w:hideMark/>
          </w:tcPr>
          <w:p w14:paraId="4D1B8903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222B8AB4" w14:textId="77777777" w:rsidR="002474A0" w:rsidRPr="00EE6554" w:rsidRDefault="002474A0" w:rsidP="002474A0">
            <w:pPr>
              <w:pStyle w:val="TableParagraph"/>
              <w:ind w:left="69" w:right="6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KIT: 01</w:t>
            </w:r>
          </w:p>
          <w:p w14:paraId="7B74E5DE" w14:textId="77777777" w:rsidR="002474A0" w:rsidRPr="00EE6554" w:rsidRDefault="002474A0" w:rsidP="002474A0">
            <w:pPr>
              <w:pStyle w:val="TableParagraph"/>
              <w:ind w:left="69" w:right="6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01- pacote Açúcar cristal – Pacote contendo 5 Kg, embalado em polietileno. Prazo de validade de no mínimo 01 ano.</w:t>
            </w:r>
          </w:p>
          <w:p w14:paraId="4EA3649E" w14:textId="77777777" w:rsidR="002474A0" w:rsidRPr="00EE6554" w:rsidRDefault="002474A0" w:rsidP="002474A0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6D57DBAF" w14:textId="77777777" w:rsidR="002474A0" w:rsidRPr="00EE6554" w:rsidRDefault="002474A0" w:rsidP="002474A0">
            <w:pPr>
              <w:pStyle w:val="TableParagraph"/>
              <w:tabs>
                <w:tab w:val="left" w:pos="1371"/>
                <w:tab w:val="left" w:pos="2098"/>
                <w:tab w:val="left" w:pos="3518"/>
                <w:tab w:val="left" w:pos="4462"/>
                <w:tab w:val="left" w:pos="5134"/>
              </w:tabs>
              <w:ind w:left="69" w:right="58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02- pacote Arroz agulhinha Tipo 1.</w:t>
            </w:r>
            <w:r w:rsidRPr="00EE6554">
              <w:rPr>
                <w:rFonts w:ascii="Cambria" w:hAnsi="Cambria" w:cs="Arial"/>
                <w:spacing w:val="7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Validade mínima de 12 meses – Pacote contendo 5 Kg</w:t>
            </w:r>
          </w:p>
          <w:p w14:paraId="5E93C40E" w14:textId="77777777" w:rsidR="002474A0" w:rsidRPr="00EE6554" w:rsidRDefault="002474A0" w:rsidP="002474A0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65D5341C" w14:textId="77777777" w:rsidR="002474A0" w:rsidRPr="00EE6554" w:rsidRDefault="002474A0" w:rsidP="002474A0">
            <w:pPr>
              <w:pStyle w:val="TableParagraph"/>
              <w:ind w:left="69" w:right="6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 xml:space="preserve">02-Extrato de tomate; produto resultante da concentração da </w:t>
            </w:r>
            <w:r w:rsidRPr="00EE6554">
              <w:rPr>
                <w:rFonts w:ascii="Cambria" w:hAnsi="Cambria" w:cs="Arial"/>
                <w:sz w:val="20"/>
                <w:szCs w:val="20"/>
              </w:rPr>
              <w:lastRenderedPageBreak/>
              <w:t>polpa de tomate por processo tecnológico; preparado com frutos maduros selecionados sem pele; sem semente e corantes artificiais; isento de sujidades e fermentação; validade mínima 12 meses a contar da entrega; acondicionado em pote de polipropileno com tampa de encaixar. Lata c/ 310 gramas do produto, resultante do processamento de 16 tomates por embalagem.</w:t>
            </w:r>
          </w:p>
          <w:p w14:paraId="3F3D0D02" w14:textId="77777777" w:rsidR="002474A0" w:rsidRPr="00EE6554" w:rsidRDefault="002474A0" w:rsidP="002474A0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2428E2B7" w14:textId="77777777" w:rsidR="002474A0" w:rsidRPr="00EE6554" w:rsidRDefault="002474A0" w:rsidP="002474A0">
            <w:pPr>
              <w:pStyle w:val="TableParagraph"/>
              <w:ind w:left="69" w:right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04- pacote Feijão carioca Tipo I, contendo</w:t>
            </w:r>
            <w:r w:rsidRPr="00EE6554">
              <w:rPr>
                <w:rFonts w:ascii="Cambria" w:hAnsi="Cambria" w:cs="Arial"/>
                <w:spacing w:val="8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1</w:t>
            </w:r>
            <w:r w:rsidRPr="00EE6554">
              <w:rPr>
                <w:rFonts w:ascii="Cambria" w:hAnsi="Cambria" w:cs="Arial"/>
                <w:spacing w:val="7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Kg cada unidade, embalado em  polietileno.  Prazo  mínimo</w:t>
            </w:r>
            <w:r w:rsidRPr="00EE6554">
              <w:rPr>
                <w:rFonts w:ascii="Cambria" w:hAnsi="Cambria" w:cs="Arial"/>
                <w:spacing w:val="11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de validade 6 meses</w:t>
            </w:r>
          </w:p>
          <w:p w14:paraId="4F8E49EA" w14:textId="77777777" w:rsidR="002474A0" w:rsidRPr="00EE6554" w:rsidRDefault="002474A0" w:rsidP="002474A0">
            <w:pPr>
              <w:pStyle w:val="TableParagraph"/>
              <w:spacing w:line="215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20B68222" w14:textId="77777777" w:rsidR="002474A0" w:rsidRPr="00EE6554" w:rsidRDefault="002474A0" w:rsidP="002474A0">
            <w:pPr>
              <w:pStyle w:val="TableParagraph"/>
              <w:ind w:left="69" w:right="5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01-Tempero a base de alho e sal de 1ª qualidade.</w:t>
            </w:r>
          </w:p>
          <w:p w14:paraId="14AB09F4" w14:textId="77777777" w:rsidR="002474A0" w:rsidRPr="00EE6554" w:rsidRDefault="002474A0" w:rsidP="002474A0">
            <w:pPr>
              <w:pStyle w:val="TableParagraph"/>
              <w:ind w:left="69" w:right="5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Prazo mínimo de validade de 01 ano. –500gr.</w:t>
            </w:r>
          </w:p>
          <w:p w14:paraId="00A98094" w14:textId="77777777" w:rsidR="002474A0" w:rsidRPr="00EE6554" w:rsidRDefault="002474A0" w:rsidP="002474A0">
            <w:pPr>
              <w:pStyle w:val="TableParagraph"/>
              <w:ind w:right="61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1B66451" w14:textId="77777777" w:rsidR="002474A0" w:rsidRPr="00EE6554" w:rsidRDefault="002474A0" w:rsidP="002474A0">
            <w:pPr>
              <w:pStyle w:val="TableParagraph"/>
              <w:ind w:right="61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>01 Sal; refinado; iodado; de primeira qualidade com no mínimo 96,95%</w:t>
            </w:r>
            <w:r w:rsidRPr="00EE6554">
              <w:rPr>
                <w:rFonts w:ascii="Cambria" w:hAnsi="Cambria" w:cs="Arial"/>
                <w:spacing w:val="18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de</w:t>
            </w:r>
            <w:r w:rsidRPr="00EE6554">
              <w:rPr>
                <w:rFonts w:ascii="Cambria" w:hAnsi="Cambria" w:cs="Arial"/>
                <w:spacing w:val="19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cloreto</w:t>
            </w:r>
            <w:r w:rsidRPr="00EE6554">
              <w:rPr>
                <w:rFonts w:ascii="Cambria" w:hAnsi="Cambria" w:cs="Arial"/>
                <w:spacing w:val="18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de</w:t>
            </w:r>
            <w:r w:rsidRPr="00EE6554">
              <w:rPr>
                <w:rFonts w:ascii="Cambria" w:hAnsi="Cambria" w:cs="Arial"/>
                <w:spacing w:val="18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sódio</w:t>
            </w:r>
            <w:r w:rsidRPr="00EE6554">
              <w:rPr>
                <w:rFonts w:ascii="Cambria" w:hAnsi="Cambria" w:cs="Arial"/>
                <w:spacing w:val="20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e</w:t>
            </w:r>
            <w:r w:rsidRPr="00EE6554">
              <w:rPr>
                <w:rFonts w:ascii="Cambria" w:hAnsi="Cambria" w:cs="Arial"/>
                <w:spacing w:val="19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sais</w:t>
            </w:r>
            <w:r w:rsidRPr="00EE6554">
              <w:rPr>
                <w:rFonts w:ascii="Cambria" w:hAnsi="Cambria" w:cs="Arial"/>
                <w:spacing w:val="18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de</w:t>
            </w:r>
            <w:r w:rsidRPr="00EE6554">
              <w:rPr>
                <w:rFonts w:ascii="Cambria" w:hAnsi="Cambria" w:cs="Arial"/>
                <w:spacing w:val="19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iodo;</w:t>
            </w:r>
            <w:r w:rsidRPr="00EE6554">
              <w:rPr>
                <w:rFonts w:ascii="Cambria" w:hAnsi="Cambria" w:cs="Arial"/>
                <w:spacing w:val="18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acondicionado</w:t>
            </w:r>
            <w:r w:rsidRPr="00EE6554">
              <w:rPr>
                <w:rFonts w:ascii="Cambria" w:hAnsi="Cambria" w:cs="Arial"/>
                <w:spacing w:val="18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em</w:t>
            </w:r>
            <w:r w:rsidRPr="00EE6554">
              <w:rPr>
                <w:rFonts w:ascii="Cambria" w:hAnsi="Cambria" w:cs="Arial"/>
                <w:spacing w:val="17"/>
                <w:sz w:val="20"/>
                <w:szCs w:val="20"/>
              </w:rPr>
              <w:t xml:space="preserve"> </w:t>
            </w:r>
            <w:r w:rsidRPr="00EE6554">
              <w:rPr>
                <w:rFonts w:ascii="Cambria" w:hAnsi="Cambria" w:cs="Arial"/>
                <w:sz w:val="20"/>
                <w:szCs w:val="20"/>
              </w:rPr>
              <w:t>saco de polietileno, resistente e vedado com validade mínima de 10 meses a contar da data da entrega; pct c/ 01 kg.</w:t>
            </w:r>
          </w:p>
          <w:p w14:paraId="4D3333E5" w14:textId="77777777" w:rsidR="002474A0" w:rsidRPr="00EE6554" w:rsidRDefault="002474A0" w:rsidP="002474A0">
            <w:pPr>
              <w:pStyle w:val="TableParagraph"/>
              <w:spacing w:line="215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405AAD92" w14:textId="77777777" w:rsidR="002474A0" w:rsidRPr="00EE6554" w:rsidRDefault="002474A0" w:rsidP="002474A0">
            <w:pPr>
              <w:pStyle w:val="TableParagraph"/>
              <w:spacing w:line="234" w:lineRule="exact"/>
              <w:ind w:left="69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E6554">
              <w:rPr>
                <w:rFonts w:ascii="Cambria" w:hAnsi="Cambria" w:cs="Arial"/>
                <w:sz w:val="20"/>
                <w:szCs w:val="20"/>
              </w:rPr>
              <w:t xml:space="preserve">04- Óleo comestível de soja pet 900ml, obtido de espécie vegetal; isento de ranço e </w:t>
            </w:r>
            <w:r w:rsidRPr="00EE6554">
              <w:rPr>
                <w:rFonts w:ascii="Cambria" w:hAnsi="Cambria" w:cs="Arial"/>
                <w:sz w:val="20"/>
                <w:szCs w:val="20"/>
              </w:rPr>
              <w:lastRenderedPageBreak/>
              <w:t>substâncias estranhas; validade mínima 06 meses a contar da entrega.</w:t>
            </w:r>
          </w:p>
          <w:p w14:paraId="71C18F4E" w14:textId="77777777" w:rsidR="002474A0" w:rsidRPr="00EE6554" w:rsidRDefault="002474A0" w:rsidP="002474A0">
            <w:pPr>
              <w:pStyle w:val="TableParagraph"/>
              <w:spacing w:line="234" w:lineRule="exact"/>
              <w:ind w:left="69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641F44" w14:textId="29A3984D" w:rsidR="002474A0" w:rsidRPr="002474A0" w:rsidRDefault="002474A0" w:rsidP="002474A0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EE6554">
              <w:rPr>
                <w:rFonts w:ascii="Cambria" w:hAnsi="Cambria"/>
                <w:b/>
                <w:sz w:val="20"/>
              </w:rPr>
              <w:t>OBS: Kit embalado com plástico transparente e reforçado, como cesta básica.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010521E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2474A0">
              <w:rPr>
                <w:rFonts w:ascii="Cambria" w:hAnsi="Cambria" w:cs="Calibri"/>
                <w:color w:val="000000"/>
                <w:sz w:val="20"/>
              </w:rPr>
              <w:lastRenderedPageBreak/>
              <w:t>1500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0D2AF748" w14:textId="6E33819F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129,20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14:paraId="445D4958" w14:textId="3ADC821E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193.800,00</w:t>
            </w:r>
          </w:p>
        </w:tc>
        <w:tc>
          <w:tcPr>
            <w:tcW w:w="973" w:type="dxa"/>
            <w:shd w:val="clear" w:color="000000" w:fill="FFFFFF"/>
            <w:vAlign w:val="center"/>
            <w:hideMark/>
          </w:tcPr>
          <w:p w14:paraId="49D38157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5215BC19" w14:textId="010D379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193.800,00</w:t>
            </w:r>
          </w:p>
        </w:tc>
        <w:tc>
          <w:tcPr>
            <w:tcW w:w="973" w:type="dxa"/>
            <w:shd w:val="clear" w:color="000000" w:fill="FFFFFF"/>
            <w:vAlign w:val="center"/>
            <w:hideMark/>
          </w:tcPr>
          <w:p w14:paraId="26DDEE97" w14:textId="77777777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2B16D2BA" w14:textId="54DAD09C" w:rsidR="002474A0" w:rsidRPr="002474A0" w:rsidRDefault="002474A0" w:rsidP="002474A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74A0">
              <w:rPr>
                <w:rFonts w:ascii="Cambria" w:hAnsi="Cambria" w:cs="Calibri"/>
                <w:color w:val="000000"/>
                <w:sz w:val="18"/>
                <w:szCs w:val="18"/>
              </w:rPr>
              <w:t>969.000,00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57443E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113C6E">
        <w:rPr>
          <w:rFonts w:ascii="Cambria" w:hAnsi="Cambria"/>
          <w:color w:val="000000"/>
          <w:szCs w:val="24"/>
        </w:rPr>
        <w:t>022/2022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2D21F2D9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113C6E">
        <w:rPr>
          <w:rFonts w:ascii="Cambria" w:hAnsi="Cambria"/>
          <w:color w:val="000000"/>
          <w:szCs w:val="24"/>
        </w:rPr>
        <w:t>022/2022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25FD1BF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113C6E">
        <w:rPr>
          <w:rFonts w:ascii="Cambria" w:hAnsi="Cambria"/>
          <w:color w:val="000000"/>
          <w:szCs w:val="24"/>
        </w:rPr>
        <w:t>022/2022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</w:t>
      </w:r>
      <w:r w:rsidRPr="00173E14">
        <w:rPr>
          <w:rFonts w:ascii="Cambria" w:hAnsi="Cambria"/>
          <w:color w:val="000000"/>
          <w:szCs w:val="24"/>
        </w:rPr>
        <w:lastRenderedPageBreak/>
        <w:t>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68546B6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13C6E">
        <w:rPr>
          <w:rFonts w:ascii="Cambria" w:hAnsi="Cambria"/>
          <w:color w:val="000000"/>
          <w:szCs w:val="24"/>
        </w:rPr>
        <w:t>022/2022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173E14">
        <w:rPr>
          <w:rFonts w:ascii="Cambria" w:hAnsi="Cambria" w:cs="Arial"/>
          <w:color w:val="000000"/>
        </w:rPr>
        <w:lastRenderedPageBreak/>
        <w:t>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1D6800F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113C6E">
        <w:rPr>
          <w:rFonts w:ascii="Cambria" w:hAnsi="Cambria" w:cs="Arial"/>
          <w:color w:val="000000"/>
        </w:rPr>
        <w:t>022/2022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0B8AF58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882F22">
        <w:rPr>
          <w:rFonts w:ascii="Cambria" w:hAnsi="Cambria"/>
          <w:color w:val="000000"/>
          <w:szCs w:val="24"/>
        </w:rPr>
        <w:t>13 de maio de 2022</w:t>
      </w:r>
      <w:r w:rsidR="005B71F5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783F1BE1" w14:textId="77777777" w:rsidR="00057317" w:rsidRPr="00057317" w:rsidRDefault="00057317" w:rsidP="0005731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057317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0209ADDF" w:rsidR="00961925" w:rsidRPr="00F368A2" w:rsidRDefault="00057317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F368A2">
        <w:rPr>
          <w:rFonts w:ascii="Cambria" w:hAnsi="Cambria" w:cs="Arial"/>
          <w:b/>
          <w:bCs/>
          <w:i/>
          <w:iCs/>
          <w:color w:val="000000"/>
        </w:rPr>
        <w:t>Amazônia Indústria e Com</w:t>
      </w:r>
      <w:r w:rsidR="00BB5EC3" w:rsidRPr="00F368A2">
        <w:rPr>
          <w:rFonts w:ascii="Cambria" w:hAnsi="Cambria" w:cs="Arial"/>
          <w:b/>
          <w:bCs/>
          <w:i/>
          <w:iCs/>
          <w:color w:val="000000"/>
        </w:rPr>
        <w:t>ércio Ltda</w:t>
      </w:r>
    </w:p>
    <w:p w14:paraId="26C2CACB" w14:textId="64DBB2ED" w:rsidR="00961925" w:rsidRPr="00173E14" w:rsidRDefault="00BB5EC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66.476.052/0001-47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515932D6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4928519">
    <w:abstractNumId w:val="32"/>
  </w:num>
  <w:num w:numId="2" w16cid:durableId="476385108">
    <w:abstractNumId w:val="9"/>
  </w:num>
  <w:num w:numId="3" w16cid:durableId="1926913752">
    <w:abstractNumId w:val="24"/>
  </w:num>
  <w:num w:numId="4" w16cid:durableId="11915255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6598092">
    <w:abstractNumId w:val="27"/>
  </w:num>
  <w:num w:numId="6" w16cid:durableId="206067279">
    <w:abstractNumId w:val="2"/>
  </w:num>
  <w:num w:numId="7" w16cid:durableId="1795639621">
    <w:abstractNumId w:val="4"/>
  </w:num>
  <w:num w:numId="8" w16cid:durableId="612127352">
    <w:abstractNumId w:val="3"/>
  </w:num>
  <w:num w:numId="9" w16cid:durableId="995034185">
    <w:abstractNumId w:val="10"/>
  </w:num>
  <w:num w:numId="10" w16cid:durableId="1917977559">
    <w:abstractNumId w:val="1"/>
  </w:num>
  <w:num w:numId="11" w16cid:durableId="1791821637">
    <w:abstractNumId w:val="31"/>
  </w:num>
  <w:num w:numId="12" w16cid:durableId="1752653522">
    <w:abstractNumId w:val="15"/>
  </w:num>
  <w:num w:numId="13" w16cid:durableId="1228764410">
    <w:abstractNumId w:val="30"/>
  </w:num>
  <w:num w:numId="14" w16cid:durableId="766923726">
    <w:abstractNumId w:val="19"/>
  </w:num>
  <w:num w:numId="15" w16cid:durableId="1220358605">
    <w:abstractNumId w:val="16"/>
  </w:num>
  <w:num w:numId="16" w16cid:durableId="1338771234">
    <w:abstractNumId w:val="18"/>
  </w:num>
  <w:num w:numId="17" w16cid:durableId="943222685">
    <w:abstractNumId w:val="11"/>
  </w:num>
  <w:num w:numId="18" w16cid:durableId="1115446971">
    <w:abstractNumId w:val="7"/>
  </w:num>
  <w:num w:numId="19" w16cid:durableId="1230263105">
    <w:abstractNumId w:val="12"/>
  </w:num>
  <w:num w:numId="20" w16cid:durableId="1118796797">
    <w:abstractNumId w:val="14"/>
  </w:num>
  <w:num w:numId="21" w16cid:durableId="1053195689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782457382">
    <w:abstractNumId w:val="8"/>
  </w:num>
  <w:num w:numId="23" w16cid:durableId="872499155">
    <w:abstractNumId w:val="29"/>
  </w:num>
  <w:num w:numId="24" w16cid:durableId="1810201701">
    <w:abstractNumId w:val="21"/>
  </w:num>
  <w:num w:numId="25" w16cid:durableId="309753929">
    <w:abstractNumId w:val="23"/>
  </w:num>
  <w:num w:numId="26" w16cid:durableId="1985424813">
    <w:abstractNumId w:val="20"/>
  </w:num>
  <w:num w:numId="27" w16cid:durableId="1212571272">
    <w:abstractNumId w:val="28"/>
  </w:num>
  <w:num w:numId="28" w16cid:durableId="1577595015">
    <w:abstractNumId w:val="13"/>
  </w:num>
  <w:num w:numId="29" w16cid:durableId="188026726">
    <w:abstractNumId w:val="0"/>
  </w:num>
  <w:num w:numId="30" w16cid:durableId="1616281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3362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0921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2467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8101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5193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0390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4560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6962178">
    <w:abstractNumId w:val="17"/>
  </w:num>
  <w:num w:numId="39" w16cid:durableId="1343819571">
    <w:abstractNumId w:val="22"/>
  </w:num>
  <w:num w:numId="40" w16cid:durableId="1237941015">
    <w:abstractNumId w:val="6"/>
  </w:num>
  <w:num w:numId="41" w16cid:durableId="873729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37750"/>
    <w:rsid w:val="000417AD"/>
    <w:rsid w:val="00044035"/>
    <w:rsid w:val="00050F88"/>
    <w:rsid w:val="0005239B"/>
    <w:rsid w:val="0005728F"/>
    <w:rsid w:val="00057317"/>
    <w:rsid w:val="0006281E"/>
    <w:rsid w:val="00071E54"/>
    <w:rsid w:val="00076893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10144B"/>
    <w:rsid w:val="00113C6E"/>
    <w:rsid w:val="00132D5E"/>
    <w:rsid w:val="00173E14"/>
    <w:rsid w:val="00185868"/>
    <w:rsid w:val="001A15A9"/>
    <w:rsid w:val="001A5F93"/>
    <w:rsid w:val="001B5D1E"/>
    <w:rsid w:val="001C7680"/>
    <w:rsid w:val="001D46C5"/>
    <w:rsid w:val="001D616E"/>
    <w:rsid w:val="001E0899"/>
    <w:rsid w:val="00200713"/>
    <w:rsid w:val="00210FD8"/>
    <w:rsid w:val="00223E84"/>
    <w:rsid w:val="00243EFD"/>
    <w:rsid w:val="002474A0"/>
    <w:rsid w:val="00247BEF"/>
    <w:rsid w:val="002533BD"/>
    <w:rsid w:val="002602DC"/>
    <w:rsid w:val="00266C4F"/>
    <w:rsid w:val="0027092D"/>
    <w:rsid w:val="00273022"/>
    <w:rsid w:val="002770C2"/>
    <w:rsid w:val="002A01B8"/>
    <w:rsid w:val="002B7728"/>
    <w:rsid w:val="002C36F6"/>
    <w:rsid w:val="002C5D24"/>
    <w:rsid w:val="002D2073"/>
    <w:rsid w:val="002D3DAC"/>
    <w:rsid w:val="002E4F4B"/>
    <w:rsid w:val="002F1185"/>
    <w:rsid w:val="00301908"/>
    <w:rsid w:val="00305E4E"/>
    <w:rsid w:val="003102B1"/>
    <w:rsid w:val="00313ADE"/>
    <w:rsid w:val="003209D5"/>
    <w:rsid w:val="003243CA"/>
    <w:rsid w:val="00340BF8"/>
    <w:rsid w:val="003457EA"/>
    <w:rsid w:val="00346EE3"/>
    <w:rsid w:val="00356246"/>
    <w:rsid w:val="00357D85"/>
    <w:rsid w:val="0039711B"/>
    <w:rsid w:val="003B0F42"/>
    <w:rsid w:val="003B348D"/>
    <w:rsid w:val="003B5185"/>
    <w:rsid w:val="003C1580"/>
    <w:rsid w:val="003C5BCC"/>
    <w:rsid w:val="003C6857"/>
    <w:rsid w:val="003C72FB"/>
    <w:rsid w:val="003D1005"/>
    <w:rsid w:val="003D631A"/>
    <w:rsid w:val="003F2AAC"/>
    <w:rsid w:val="003F46E8"/>
    <w:rsid w:val="003F55D1"/>
    <w:rsid w:val="003F604A"/>
    <w:rsid w:val="0040024C"/>
    <w:rsid w:val="004114C2"/>
    <w:rsid w:val="004168A9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A500A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03A57"/>
    <w:rsid w:val="005101A8"/>
    <w:rsid w:val="005209D0"/>
    <w:rsid w:val="00526110"/>
    <w:rsid w:val="00535846"/>
    <w:rsid w:val="0053675E"/>
    <w:rsid w:val="00540BB5"/>
    <w:rsid w:val="00561D33"/>
    <w:rsid w:val="00573148"/>
    <w:rsid w:val="00584188"/>
    <w:rsid w:val="005937A6"/>
    <w:rsid w:val="00593DAD"/>
    <w:rsid w:val="005A0CC7"/>
    <w:rsid w:val="005A3440"/>
    <w:rsid w:val="005B5E57"/>
    <w:rsid w:val="005B71F5"/>
    <w:rsid w:val="005C3D94"/>
    <w:rsid w:val="005E4232"/>
    <w:rsid w:val="005F7E83"/>
    <w:rsid w:val="0060238C"/>
    <w:rsid w:val="00614622"/>
    <w:rsid w:val="00621A8C"/>
    <w:rsid w:val="0063009B"/>
    <w:rsid w:val="00647358"/>
    <w:rsid w:val="00656F20"/>
    <w:rsid w:val="00660474"/>
    <w:rsid w:val="006630AF"/>
    <w:rsid w:val="0066409A"/>
    <w:rsid w:val="006709C5"/>
    <w:rsid w:val="0067359D"/>
    <w:rsid w:val="00681B7E"/>
    <w:rsid w:val="00692488"/>
    <w:rsid w:val="00694DC5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1E77"/>
    <w:rsid w:val="008230A7"/>
    <w:rsid w:val="00823D9E"/>
    <w:rsid w:val="00844F2C"/>
    <w:rsid w:val="008477ED"/>
    <w:rsid w:val="00847BB4"/>
    <w:rsid w:val="00853118"/>
    <w:rsid w:val="008537C3"/>
    <w:rsid w:val="00854DF8"/>
    <w:rsid w:val="008655EC"/>
    <w:rsid w:val="00865AE6"/>
    <w:rsid w:val="008763DC"/>
    <w:rsid w:val="00882F22"/>
    <w:rsid w:val="00885579"/>
    <w:rsid w:val="00891BB4"/>
    <w:rsid w:val="008A4BCA"/>
    <w:rsid w:val="008A7C06"/>
    <w:rsid w:val="008B1FC1"/>
    <w:rsid w:val="008D6E6C"/>
    <w:rsid w:val="008D6F90"/>
    <w:rsid w:val="008E594C"/>
    <w:rsid w:val="00934867"/>
    <w:rsid w:val="0094099A"/>
    <w:rsid w:val="009615FB"/>
    <w:rsid w:val="00961925"/>
    <w:rsid w:val="009634F9"/>
    <w:rsid w:val="00977B31"/>
    <w:rsid w:val="00980456"/>
    <w:rsid w:val="009A1114"/>
    <w:rsid w:val="009B1C3D"/>
    <w:rsid w:val="009C09EF"/>
    <w:rsid w:val="009D484C"/>
    <w:rsid w:val="009E1FE4"/>
    <w:rsid w:val="009F1180"/>
    <w:rsid w:val="009F1F60"/>
    <w:rsid w:val="00A00900"/>
    <w:rsid w:val="00A15133"/>
    <w:rsid w:val="00A23322"/>
    <w:rsid w:val="00A309C3"/>
    <w:rsid w:val="00A31AC8"/>
    <w:rsid w:val="00A33EC6"/>
    <w:rsid w:val="00A60F3A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666"/>
    <w:rsid w:val="00AF46FC"/>
    <w:rsid w:val="00B00BE4"/>
    <w:rsid w:val="00B27EB9"/>
    <w:rsid w:val="00B328B9"/>
    <w:rsid w:val="00B32E89"/>
    <w:rsid w:val="00B414FC"/>
    <w:rsid w:val="00B4414D"/>
    <w:rsid w:val="00B61D3F"/>
    <w:rsid w:val="00B62020"/>
    <w:rsid w:val="00B843E7"/>
    <w:rsid w:val="00B907F8"/>
    <w:rsid w:val="00B92C88"/>
    <w:rsid w:val="00BA129C"/>
    <w:rsid w:val="00BA3FC8"/>
    <w:rsid w:val="00BA623F"/>
    <w:rsid w:val="00BB5EC3"/>
    <w:rsid w:val="00BD06EE"/>
    <w:rsid w:val="00BF6C5C"/>
    <w:rsid w:val="00C31066"/>
    <w:rsid w:val="00C37DC7"/>
    <w:rsid w:val="00C513D4"/>
    <w:rsid w:val="00C80443"/>
    <w:rsid w:val="00C91DDE"/>
    <w:rsid w:val="00CC78E4"/>
    <w:rsid w:val="00CD19D5"/>
    <w:rsid w:val="00CE561B"/>
    <w:rsid w:val="00CE7F25"/>
    <w:rsid w:val="00CF5B1A"/>
    <w:rsid w:val="00D01E09"/>
    <w:rsid w:val="00D17C0D"/>
    <w:rsid w:val="00D31973"/>
    <w:rsid w:val="00D358F0"/>
    <w:rsid w:val="00D3672D"/>
    <w:rsid w:val="00D44FDC"/>
    <w:rsid w:val="00D52224"/>
    <w:rsid w:val="00D55E83"/>
    <w:rsid w:val="00D71B43"/>
    <w:rsid w:val="00D91CBE"/>
    <w:rsid w:val="00DA5898"/>
    <w:rsid w:val="00DB6B1A"/>
    <w:rsid w:val="00DC18A7"/>
    <w:rsid w:val="00DE2653"/>
    <w:rsid w:val="00DE3EED"/>
    <w:rsid w:val="00DE51C1"/>
    <w:rsid w:val="00DE67DD"/>
    <w:rsid w:val="00DF1244"/>
    <w:rsid w:val="00DF46D5"/>
    <w:rsid w:val="00E025AA"/>
    <w:rsid w:val="00E548A9"/>
    <w:rsid w:val="00E61995"/>
    <w:rsid w:val="00E83D4F"/>
    <w:rsid w:val="00EB1EC2"/>
    <w:rsid w:val="00EB2761"/>
    <w:rsid w:val="00EB3B2C"/>
    <w:rsid w:val="00EB6BCD"/>
    <w:rsid w:val="00EE09C2"/>
    <w:rsid w:val="00EE128B"/>
    <w:rsid w:val="00F02275"/>
    <w:rsid w:val="00F04523"/>
    <w:rsid w:val="00F07077"/>
    <w:rsid w:val="00F1182B"/>
    <w:rsid w:val="00F20144"/>
    <w:rsid w:val="00F22743"/>
    <w:rsid w:val="00F255A0"/>
    <w:rsid w:val="00F263B2"/>
    <w:rsid w:val="00F32291"/>
    <w:rsid w:val="00F32369"/>
    <w:rsid w:val="00F330D2"/>
    <w:rsid w:val="00F33550"/>
    <w:rsid w:val="00F368A2"/>
    <w:rsid w:val="00F5124C"/>
    <w:rsid w:val="00F70D1A"/>
    <w:rsid w:val="00F71E73"/>
    <w:rsid w:val="00F841C0"/>
    <w:rsid w:val="00F858CD"/>
    <w:rsid w:val="00FA21DD"/>
    <w:rsid w:val="00FB3378"/>
    <w:rsid w:val="00FB4EAF"/>
    <w:rsid w:val="00FC20C9"/>
    <w:rsid w:val="00FD6B30"/>
    <w:rsid w:val="00FE27F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474A0"/>
    <w:pPr>
      <w:widowControl w:val="0"/>
      <w:autoSpaceDE w:val="0"/>
      <w:autoSpaceDN w:val="0"/>
    </w:pPr>
    <w:rPr>
      <w:rFonts w:ascii="Caladea" w:eastAsia="Caladea" w:hAnsi="Caladea" w:cs="Calade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2112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19</cp:revision>
  <cp:lastPrinted>2019-03-15T12:10:00Z</cp:lastPrinted>
  <dcterms:created xsi:type="dcterms:W3CDTF">2022-05-18T14:02:00Z</dcterms:created>
  <dcterms:modified xsi:type="dcterms:W3CDTF">2022-05-18T14:15:00Z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