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3961A1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67722B" w:rsidRPr="003961A1">
        <w:rPr>
          <w:rFonts w:ascii="Verdana" w:hAnsi="Verdana" w:cs="Verdana"/>
          <w:b/>
          <w:sz w:val="21"/>
          <w:szCs w:val="21"/>
        </w:rPr>
        <w:t>117/2017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7722B" w:rsidRPr="003961A1">
        <w:rPr>
          <w:rFonts w:ascii="Verdana" w:hAnsi="Verdana" w:cs="Arial"/>
          <w:b/>
          <w:sz w:val="21"/>
          <w:szCs w:val="21"/>
        </w:rPr>
        <w:t>066/2017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ATA DE REGISTRO DE PREÇOS Nº </w:t>
      </w:r>
      <w:r w:rsidR="00D52DED" w:rsidRPr="003961A1">
        <w:rPr>
          <w:rFonts w:ascii="Verdana" w:hAnsi="Verdana" w:cs="Arial"/>
          <w:sz w:val="21"/>
          <w:szCs w:val="21"/>
        </w:rPr>
        <w:t>054</w:t>
      </w:r>
      <w:r w:rsidRPr="003961A1">
        <w:rPr>
          <w:rFonts w:ascii="Verdana" w:hAnsi="Verdana" w:cs="Arial"/>
          <w:sz w:val="21"/>
          <w:szCs w:val="21"/>
        </w:rPr>
        <w:t>/2017.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PREGÃO Nº </w:t>
      </w:r>
      <w:r w:rsidR="0067722B" w:rsidRPr="003961A1">
        <w:rPr>
          <w:rFonts w:ascii="Verdana" w:hAnsi="Verdana" w:cs="Arial"/>
          <w:sz w:val="21"/>
          <w:szCs w:val="21"/>
        </w:rPr>
        <w:t>117/2017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PROCESSO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VALIDADE: 12 meses.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Aos </w:t>
      </w:r>
      <w:r w:rsidR="009701BF" w:rsidRPr="003961A1">
        <w:rPr>
          <w:rFonts w:ascii="Verdana" w:hAnsi="Verdana" w:cs="Arial"/>
          <w:sz w:val="21"/>
          <w:szCs w:val="21"/>
        </w:rPr>
        <w:t>30 (trinta)</w:t>
      </w:r>
      <w:r w:rsidRPr="003961A1">
        <w:rPr>
          <w:rFonts w:ascii="Verdana" w:hAnsi="Verdana" w:cs="Arial"/>
          <w:sz w:val="21"/>
          <w:szCs w:val="21"/>
        </w:rPr>
        <w:t xml:space="preserve"> dias do mês de </w:t>
      </w:r>
      <w:r w:rsidR="009701BF" w:rsidRPr="003961A1">
        <w:rPr>
          <w:rFonts w:ascii="Verdana" w:hAnsi="Verdana" w:cs="Arial"/>
          <w:sz w:val="21"/>
          <w:szCs w:val="21"/>
        </w:rPr>
        <w:t>agosto</w:t>
      </w:r>
      <w:r w:rsidRPr="003961A1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9701BF" w:rsidRPr="003961A1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3961A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701BF" w:rsidRPr="003961A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701BF" w:rsidRPr="003961A1">
        <w:rPr>
          <w:rFonts w:ascii="Verdana" w:hAnsi="Verdana" w:cs="Arial"/>
          <w:sz w:val="21"/>
          <w:szCs w:val="21"/>
        </w:rPr>
        <w:t>Filgueiras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7722B" w:rsidRPr="003961A1">
        <w:rPr>
          <w:rFonts w:ascii="Verdana" w:hAnsi="Verdana" w:cs="Arial"/>
          <w:sz w:val="21"/>
          <w:szCs w:val="21"/>
        </w:rPr>
        <w:t>117/2017</w:t>
      </w:r>
      <w:r w:rsidRPr="003961A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7722B" w:rsidRPr="003961A1">
        <w:rPr>
          <w:rFonts w:ascii="Verdana" w:hAnsi="Verdana" w:cs="Arial"/>
          <w:sz w:val="21"/>
          <w:szCs w:val="21"/>
        </w:rPr>
        <w:t>117/2017</w:t>
      </w:r>
      <w:r w:rsidRPr="003961A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8925EE">
        <w:rPr>
          <w:rFonts w:ascii="Verdana" w:hAnsi="Verdana" w:cs="Arial"/>
          <w:b/>
          <w:sz w:val="21"/>
          <w:szCs w:val="21"/>
        </w:rPr>
        <w:t>CARLOS MOREIRA NASCIMENTO ME</w:t>
      </w:r>
      <w:r w:rsidR="003961A1" w:rsidRPr="003961A1">
        <w:rPr>
          <w:rFonts w:ascii="Verdana" w:hAnsi="Verdana" w:cs="Arial"/>
          <w:sz w:val="21"/>
          <w:szCs w:val="21"/>
        </w:rPr>
        <w:t xml:space="preserve">, localizado na </w:t>
      </w:r>
      <w:r w:rsidR="008925EE">
        <w:rPr>
          <w:rFonts w:ascii="Verdana" w:hAnsi="Verdana" w:cs="Arial"/>
          <w:sz w:val="21"/>
          <w:szCs w:val="21"/>
        </w:rPr>
        <w:t>Praça Geraldo da Silva, nº. 142, Sala 02, Centro, Passos/MG, CEP 37.900-096</w:t>
      </w:r>
      <w:r w:rsidR="003961A1" w:rsidRPr="003961A1">
        <w:rPr>
          <w:rFonts w:ascii="Verdana" w:hAnsi="Verdana" w:cs="Arial"/>
          <w:sz w:val="21"/>
          <w:szCs w:val="21"/>
        </w:rPr>
        <w:t xml:space="preserve">, cujo CNPJ é 27.845.560/0001-01, neste ato representado por </w:t>
      </w:r>
      <w:proofErr w:type="spellStart"/>
      <w:r w:rsidR="003961A1" w:rsidRPr="003961A1">
        <w:rPr>
          <w:rFonts w:ascii="Verdana" w:hAnsi="Verdana" w:cs="Arial"/>
          <w:sz w:val="21"/>
          <w:szCs w:val="21"/>
        </w:rPr>
        <w:t>Heder</w:t>
      </w:r>
      <w:proofErr w:type="spellEnd"/>
      <w:r w:rsidR="003961A1" w:rsidRPr="003961A1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="003961A1" w:rsidRPr="003961A1">
        <w:rPr>
          <w:rFonts w:ascii="Verdana" w:hAnsi="Verdana" w:cs="Arial"/>
          <w:sz w:val="21"/>
          <w:szCs w:val="21"/>
        </w:rPr>
        <w:t>Magil</w:t>
      </w:r>
      <w:proofErr w:type="spellEnd"/>
      <w:r w:rsidR="003961A1" w:rsidRPr="003961A1">
        <w:rPr>
          <w:rFonts w:ascii="Verdana" w:hAnsi="Verdana" w:cs="Arial"/>
          <w:sz w:val="21"/>
          <w:szCs w:val="21"/>
        </w:rPr>
        <w:t xml:space="preserve"> Teixeira Gonzaga, inscrito no CPF/MF sob o nº. 042.018.796-07, conforme quadro abaixo</w:t>
      </w:r>
      <w:r w:rsidRPr="003961A1">
        <w:rPr>
          <w:rFonts w:ascii="Verdana" w:hAnsi="Verdana" w:cs="Arial"/>
          <w:sz w:val="21"/>
          <w:szCs w:val="21"/>
        </w:rPr>
        <w:t>:</w:t>
      </w:r>
    </w:p>
    <w:p w:rsidR="000E71A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89"/>
        <w:gridCol w:w="787"/>
        <w:gridCol w:w="1206"/>
        <w:gridCol w:w="865"/>
        <w:gridCol w:w="787"/>
        <w:gridCol w:w="865"/>
        <w:gridCol w:w="787"/>
        <w:gridCol w:w="865"/>
      </w:tblGrid>
      <w:tr w:rsidR="0003708A" w:rsidRPr="0003708A" w:rsidTr="0003708A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03708A" w:rsidRPr="0003708A" w:rsidTr="0003708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03708A" w:rsidRPr="0003708A" w:rsidTr="0003708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03708A" w:rsidRPr="0003708A" w:rsidTr="0003708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03708A" w:rsidRPr="0003708A" w:rsidTr="0003708A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Deskjet F </w:t>
            </w:r>
            <w:proofErr w:type="gram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4180  -</w:t>
            </w:r>
            <w:proofErr w:type="gram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Preto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30,7000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1.535,00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1.535,00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7.675,00</w:t>
            </w:r>
          </w:p>
        </w:tc>
      </w:tr>
      <w:tr w:rsidR="0003708A" w:rsidRPr="0003708A" w:rsidTr="0003708A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</w:t>
            </w: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DesKjet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F 4180 – Preto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30,7000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1.535,00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1.535,00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7.675,00</w:t>
            </w:r>
          </w:p>
        </w:tc>
      </w:tr>
      <w:tr w:rsidR="0003708A" w:rsidRPr="0003708A" w:rsidTr="0003708A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Lexmark e 260 dm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93,0000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18.600,00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18.600,00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08A" w:rsidRPr="0003708A" w:rsidRDefault="0003708A" w:rsidP="0003708A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3708A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93.000,00</w:t>
            </w:r>
          </w:p>
        </w:tc>
      </w:tr>
    </w:tbl>
    <w:p w:rsidR="00497C9B" w:rsidRPr="003961A1" w:rsidRDefault="00497C9B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01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sz w:val="21"/>
          <w:szCs w:val="21"/>
        </w:rPr>
        <w:t xml:space="preserve">I </w:t>
      </w:r>
      <w:r w:rsidRPr="003961A1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02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3961A1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03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04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3961A1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3961A1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05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06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961A1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3961A1">
        <w:rPr>
          <w:rFonts w:ascii="Verdana" w:hAnsi="Verdana" w:cs="Arial"/>
          <w:sz w:val="21"/>
          <w:szCs w:val="21"/>
        </w:rPr>
        <w:t>definitivo pela unidade requisitante</w:t>
      </w:r>
      <w:r w:rsidRPr="003961A1">
        <w:rPr>
          <w:rFonts w:ascii="Verdana" w:hAnsi="Verdana" w:cs="Arial"/>
          <w:bCs/>
          <w:sz w:val="21"/>
          <w:szCs w:val="21"/>
        </w:rPr>
        <w:t xml:space="preserve"> do objeto, </w:t>
      </w:r>
      <w:r w:rsidRPr="003961A1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lastRenderedPageBreak/>
        <w:t xml:space="preserve">TX = Percentual da taxa de juros de mora anual;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07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3961A1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IV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VII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08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3961A1">
        <w:rPr>
          <w:rFonts w:ascii="Verdana" w:hAnsi="Verdana" w:cs="Arial"/>
          <w:sz w:val="21"/>
          <w:szCs w:val="21"/>
        </w:rPr>
        <w:t>á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sz w:val="21"/>
          <w:szCs w:val="21"/>
        </w:rPr>
        <w:t xml:space="preserve">II - Em caso de inexecução parcial ou total das condições fixadas no contrato, erros ou atrasos no cumprimento do contrato, infringência do art. 71 da Lei </w:t>
      </w:r>
      <w:r w:rsidRPr="003961A1">
        <w:rPr>
          <w:rFonts w:ascii="Verdana" w:hAnsi="Verdana" w:cs="Verdana"/>
          <w:sz w:val="21"/>
          <w:szCs w:val="21"/>
        </w:rPr>
        <w:lastRenderedPageBreak/>
        <w:t>Federal 8.666/93 e quaisquer outras irregularidades, a Administração poderá, garantida a prévia defesa, aplicar ao contratado as seguintes sanções: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A - Advertência;</w:t>
      </w:r>
    </w:p>
    <w:p w:rsidR="000E71A7" w:rsidRPr="003961A1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3961A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961A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3961A1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D - Multa de 20% (vinte por cento) sobre o valor do contrato, nos casos: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3961A1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III - </w:t>
      </w:r>
      <w:r w:rsidRPr="003961A1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3961A1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09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10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3961A1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11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I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3961A1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961A1">
        <w:rPr>
          <w:rFonts w:ascii="Verdana" w:hAnsi="Verdana" w:cs="Arial"/>
          <w:sz w:val="21"/>
          <w:szCs w:val="21"/>
        </w:rPr>
        <w:t>a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B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C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D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3961A1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E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F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Verdana"/>
          <w:sz w:val="21"/>
          <w:szCs w:val="21"/>
        </w:rPr>
        <w:t xml:space="preserve">G </w:t>
      </w:r>
      <w:r w:rsidRPr="003961A1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3961A1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>Pelas detentoras, quando</w:t>
      </w:r>
      <w:r w:rsidRPr="003961A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3961A1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A </w:t>
      </w:r>
      <w:r w:rsidRPr="003961A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961A1">
        <w:rPr>
          <w:rFonts w:ascii="Verdana" w:hAnsi="Verdana" w:cs="Arial"/>
          <w:sz w:val="21"/>
          <w:szCs w:val="21"/>
        </w:rPr>
        <w:t>a</w:t>
      </w:r>
      <w:proofErr w:type="spellEnd"/>
      <w:r w:rsidRPr="003961A1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3961A1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 xml:space="preserve">12 </w:t>
      </w:r>
      <w:r w:rsidRPr="003961A1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I</w:t>
      </w:r>
      <w:r w:rsidRPr="003961A1">
        <w:rPr>
          <w:rFonts w:ascii="Verdana" w:hAnsi="Verdana" w:cs="Arial"/>
          <w:b/>
          <w:sz w:val="21"/>
          <w:szCs w:val="21"/>
        </w:rPr>
        <w:t xml:space="preserve"> </w:t>
      </w:r>
      <w:r w:rsidRPr="003961A1">
        <w:rPr>
          <w:rFonts w:ascii="Verdana" w:hAnsi="Verdana" w:cs="Arial"/>
          <w:b/>
          <w:sz w:val="21"/>
          <w:szCs w:val="21"/>
        </w:rPr>
        <w:noBreakHyphen/>
      </w:r>
      <w:r w:rsidRPr="003961A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3961A1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3961A1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67722B" w:rsidRPr="003961A1">
        <w:rPr>
          <w:rFonts w:ascii="Verdana" w:hAnsi="Verdana" w:cs="Arial"/>
          <w:sz w:val="21"/>
          <w:szCs w:val="21"/>
        </w:rPr>
        <w:t>066/2017</w:t>
      </w:r>
      <w:r w:rsidRPr="003961A1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3961A1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3961A1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3961A1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Papagaios, </w:t>
      </w:r>
      <w:r w:rsidR="000D0FA5" w:rsidRPr="003961A1">
        <w:rPr>
          <w:rFonts w:ascii="Verdana" w:hAnsi="Verdana" w:cs="Arial"/>
          <w:sz w:val="21"/>
          <w:szCs w:val="21"/>
        </w:rPr>
        <w:t>30 de agosto de 2017</w:t>
      </w:r>
      <w:r w:rsidRPr="003961A1">
        <w:rPr>
          <w:rFonts w:ascii="Verdana" w:hAnsi="Verdana" w:cs="Arial"/>
          <w:sz w:val="21"/>
          <w:szCs w:val="21"/>
        </w:rPr>
        <w:t>.</w:t>
      </w:r>
    </w:p>
    <w:p w:rsidR="000E71A7" w:rsidRPr="003961A1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3961A1" w:rsidRDefault="000E71A7" w:rsidP="003961A1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3961A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961A1" w:rsidRPr="003961A1" w:rsidRDefault="006B2742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Carlos Moreira Nascimento ME</w:t>
      </w:r>
    </w:p>
    <w:p w:rsidR="003961A1" w:rsidRPr="003961A1" w:rsidRDefault="003961A1" w:rsidP="003961A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961A1">
        <w:rPr>
          <w:rFonts w:ascii="Verdana" w:hAnsi="Verdana" w:cs="Arial"/>
          <w:sz w:val="21"/>
          <w:szCs w:val="21"/>
        </w:rPr>
        <w:t xml:space="preserve">CNPJ </w:t>
      </w:r>
      <w:r w:rsidR="006B2742">
        <w:rPr>
          <w:rFonts w:ascii="Verdana" w:hAnsi="Verdana" w:cs="Arial"/>
          <w:sz w:val="21"/>
          <w:szCs w:val="21"/>
        </w:rPr>
        <w:t>19.917.564/0001-47</w:t>
      </w:r>
    </w:p>
    <w:p w:rsidR="003D646A" w:rsidRPr="003961A1" w:rsidRDefault="003D646A" w:rsidP="003961A1">
      <w:pPr>
        <w:pStyle w:val="Corpodetexto"/>
        <w:spacing w:after="0"/>
        <w:jc w:val="center"/>
        <w:rPr>
          <w:rFonts w:ascii="Verdana" w:hAnsi="Verdana"/>
          <w:sz w:val="21"/>
          <w:szCs w:val="21"/>
        </w:rPr>
      </w:pPr>
      <w:bookmarkStart w:id="0" w:name="_GoBack"/>
      <w:bookmarkEnd w:id="0"/>
    </w:p>
    <w:sectPr w:rsidR="003D646A" w:rsidRPr="003961A1" w:rsidSect="00497C9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683E89" w:rsidP="000015CB">
    <w:pPr>
      <w:pStyle w:val="Rodap"/>
      <w:ind w:left="-142"/>
      <w:rPr>
        <w:sz w:val="20"/>
        <w:szCs w:val="20"/>
      </w:rPr>
    </w:pPr>
    <w:r w:rsidRPr="005C231D">
      <w:rPr>
        <w:sz w:val="20"/>
        <w:szCs w:val="20"/>
      </w:rPr>
      <w:t>RUA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3708A"/>
    <w:rsid w:val="000D0FA5"/>
    <w:rsid w:val="000E71A7"/>
    <w:rsid w:val="00285A24"/>
    <w:rsid w:val="002936D7"/>
    <w:rsid w:val="002E2556"/>
    <w:rsid w:val="002F68A3"/>
    <w:rsid w:val="00320D56"/>
    <w:rsid w:val="003702B1"/>
    <w:rsid w:val="003961A1"/>
    <w:rsid w:val="003D646A"/>
    <w:rsid w:val="00497C9B"/>
    <w:rsid w:val="004C2D12"/>
    <w:rsid w:val="004E6DCB"/>
    <w:rsid w:val="0050162C"/>
    <w:rsid w:val="005C231D"/>
    <w:rsid w:val="0064746E"/>
    <w:rsid w:val="006620EE"/>
    <w:rsid w:val="0067722B"/>
    <w:rsid w:val="00683E89"/>
    <w:rsid w:val="006B2742"/>
    <w:rsid w:val="006E7555"/>
    <w:rsid w:val="007B2225"/>
    <w:rsid w:val="007D2ED6"/>
    <w:rsid w:val="0081121D"/>
    <w:rsid w:val="008925EE"/>
    <w:rsid w:val="008C2F41"/>
    <w:rsid w:val="00937946"/>
    <w:rsid w:val="009701BF"/>
    <w:rsid w:val="0097482B"/>
    <w:rsid w:val="00AE2C8E"/>
    <w:rsid w:val="00B53D45"/>
    <w:rsid w:val="00BE5B6A"/>
    <w:rsid w:val="00C12C5D"/>
    <w:rsid w:val="00D14190"/>
    <w:rsid w:val="00D52DED"/>
    <w:rsid w:val="00DD0130"/>
    <w:rsid w:val="00DF6B61"/>
    <w:rsid w:val="00E00126"/>
    <w:rsid w:val="00E033B9"/>
    <w:rsid w:val="00E33182"/>
    <w:rsid w:val="00EC050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1942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6</cp:revision>
  <cp:lastPrinted>2017-07-31T18:14:00Z</cp:lastPrinted>
  <dcterms:created xsi:type="dcterms:W3CDTF">2017-09-20T15:55:00Z</dcterms:created>
  <dcterms:modified xsi:type="dcterms:W3CDTF">2017-09-20T16:02:00Z</dcterms:modified>
</cp:coreProperties>
</file>